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Hi,</w:t>
      </w:r>
      <w:r w:rsidDel="00000000" w:rsidR="00000000" w:rsidRPr="00000000">
        <w:rPr>
          <w:rFonts w:ascii="Quicksand" w:cs="Quicksand" w:eastAsia="Quicksand" w:hAnsi="Quicksand"/>
          <w:color w:val="222222"/>
          <w:highlight w:val="yellow"/>
          <w:rtl w:val="0"/>
        </w:rPr>
        <w:t xml:space="preserve"> Subcontractor Name</w:t>
      </w: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,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As part of a new initiative to improve our Subcontractor PQQ, tendering, and subcontract process, we’ll introduce the </w:t>
      </w:r>
      <w:hyperlink r:id="rId6">
        <w:r w:rsidDel="00000000" w:rsidR="00000000" w:rsidRPr="00000000">
          <w:rPr>
            <w:rFonts w:ascii="Quicksand" w:cs="Quicksand" w:eastAsia="Quicksand" w:hAnsi="Quicksand"/>
            <w:color w:val="1155cc"/>
            <w:u w:val="single"/>
            <w:rtl w:val="0"/>
          </w:rPr>
          <w:t xml:space="preserve">C-Link/Prosper Portal</w:t>
        </w:r>
      </w:hyperlink>
      <w:r w:rsidDel="00000000" w:rsidR="00000000" w:rsidRPr="00000000">
        <w:rPr>
          <w:rFonts w:ascii="Quicksand" w:cs="Quicksand" w:eastAsia="Quicksand" w:hAnsi="Quicksand"/>
          <w:rtl w:val="0"/>
        </w:rPr>
        <w:t xml:space="preserve">, a subcontract procurement management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adoption and use of the C-Link/Prosper Portal at </w:t>
      </w: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your company name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will allow: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One-time Completion and update of all your PQQ Requirements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Quick submission and response to tender queries and quotations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Issuance and signing of subcontract Orders.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Quicksand" w:cs="Quicksand" w:eastAsia="Quicksand" w:hAnsi="Quicksand"/>
          <w:color w:val="ff0000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As a valued member of our supply chain, you will be invited to register with C-Link/Prosper; </w:t>
      </w:r>
      <w:r w:rsidDel="00000000" w:rsidR="00000000" w:rsidRPr="00000000">
        <w:rPr>
          <w:rFonts w:ascii="Quicksand" w:cs="Quicksand" w:eastAsia="Quicksand" w:hAnsi="Quicksand"/>
          <w:color w:val="ff0000"/>
          <w:rtl w:val="0"/>
        </w:rPr>
        <w:t xml:space="preserve">registering and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color w:val="ff0000"/>
          <w:rtl w:val="0"/>
        </w:rPr>
        <w:t xml:space="preserve">using the C-Link/Prosper Portal will be free.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Quicksand" w:cs="Quicksand" w:eastAsia="Quicksand" w:hAnsi="Quicksand"/>
          <w:color w:val="ff0000"/>
        </w:rPr>
      </w:pPr>
      <w:r w:rsidDel="00000000" w:rsidR="00000000" w:rsidRPr="00000000">
        <w:rPr>
          <w:rFonts w:ascii="Quicksand" w:cs="Quicksand" w:eastAsia="Quicksand" w:hAnsi="Quicksand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From a subcontractor standpoint, once you have activated your Prosper account and created your password, Go to </w:t>
      </w:r>
      <w:r w:rsidDel="00000000" w:rsidR="00000000" w:rsidRPr="00000000">
        <w:rPr>
          <w:rFonts w:ascii="Quicksand" w:cs="Quicksand" w:eastAsia="Quicksand" w:hAnsi="Quicksand"/>
          <w:color w:val="0000ff"/>
          <w:rtl w:val="0"/>
        </w:rPr>
        <w:t xml:space="preserve">My Company &gt; Prequalification area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of your account and complete your PQQ Information. 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Quicksand" w:cs="Quicksand" w:eastAsia="Quicksand" w:hAnsi="Quicksand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Quicksand" w:cs="Quicksand" w:eastAsia="Quicksand" w:hAnsi="Quicksand"/>
          <w:b w:val="1"/>
          <w:color w:val="0000ff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0000ff"/>
          <w:rtl w:val="0"/>
        </w:rPr>
        <w:t xml:space="preserve">Next Steps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You will receive an introduction email from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The Prosper Team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on the  </w:t>
      </w: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(XX/XX/202X)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inviting you to activate your account (check Spam or Junk folders). Please watch out for and action this email. 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Quicksand" w:cs="Quicksand" w:eastAsia="Quicksand" w:hAnsi="Quicksand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Quicksand" w:cs="Quicksand" w:eastAsia="Quicksand" w:hAnsi="Quicksand"/>
          <w:i w:val="1"/>
          <w:color w:val="434343"/>
        </w:rPr>
      </w:pPr>
      <w:r w:rsidDel="00000000" w:rsidR="00000000" w:rsidRPr="00000000">
        <w:rPr>
          <w:rFonts w:ascii="Quicksand" w:cs="Quicksand" w:eastAsia="Quicksand" w:hAnsi="Quicksand"/>
          <w:i w:val="1"/>
          <w:color w:val="434343"/>
          <w:rtl w:val="0"/>
        </w:rPr>
        <w:t xml:space="preserve">See the introduction email example below.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Quicksand" w:cs="Quicksand" w:eastAsia="Quicksand" w:hAnsi="Quicksand"/>
          <w:color w:val="0000ff"/>
        </w:rPr>
      </w:pPr>
      <w:r w:rsidDel="00000000" w:rsidR="00000000" w:rsidRPr="00000000">
        <w:rPr>
          <w:rFonts w:ascii="Quicksand" w:cs="Quicksand" w:eastAsia="Quicksand" w:hAnsi="Quicksand"/>
          <w:color w:val="0000ff"/>
        </w:rPr>
        <w:drawing>
          <wp:inline distB="114300" distT="114300" distL="114300" distR="114300">
            <wp:extent cx="5172075" cy="72144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214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Quicksand" w:cs="Quicksand" w:eastAsia="Quicksand" w:hAnsi="Quicksand"/>
          <w:color w:val="0000ff"/>
        </w:rPr>
      </w:pPr>
      <w:r w:rsidDel="00000000" w:rsidR="00000000" w:rsidRPr="00000000">
        <w:rPr>
          <w:rFonts w:ascii="Quicksand" w:cs="Quicksand" w:eastAsia="Quicksand" w:hAnsi="Quicksand"/>
          <w:color w:val="0000ff"/>
        </w:rPr>
        <w:drawing>
          <wp:inline distB="114300" distT="114300" distL="114300" distR="114300">
            <wp:extent cx="3336576" cy="60300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2295" r="0" t="1408"/>
                    <a:stretch>
                      <a:fillRect/>
                    </a:stretch>
                  </pic:blipFill>
                  <pic:spPr>
                    <a:xfrm>
                      <a:off x="0" y="0"/>
                      <a:ext cx="3336576" cy="6030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Please contact me if you have any queries concerning the above.</w:t>
      </w:r>
    </w:p>
    <w:p w:rsidR="00000000" w:rsidDel="00000000" w:rsidP="00000000" w:rsidRDefault="00000000" w:rsidRPr="00000000" w14:paraId="00000018">
      <w:pPr>
        <w:shd w:fill="ffffff" w:val="clear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rPr>
          <w:rFonts w:ascii="Quicksand" w:cs="Quicksand" w:eastAsia="Quicksand" w:hAnsi="Quicksand"/>
          <w:color w:val="222222"/>
        </w:rPr>
      </w:pPr>
      <w:r w:rsidDel="00000000" w:rsidR="00000000" w:rsidRPr="00000000">
        <w:rPr>
          <w:rFonts w:ascii="Quicksand" w:cs="Quicksand" w:eastAsia="Quicksand" w:hAnsi="Quicksand"/>
          <w:color w:val="222222"/>
          <w:rtl w:val="0"/>
        </w:rPr>
        <w:t xml:space="preserve">Kind regards,</w:t>
      </w:r>
    </w:p>
    <w:p w:rsidR="00000000" w:rsidDel="00000000" w:rsidP="00000000" w:rsidRDefault="00000000" w:rsidRPr="00000000" w14:paraId="0000001A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Your Company Name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-link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